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9C" w:rsidRPr="00C0779C" w:rsidRDefault="00C0779C" w:rsidP="00C0779C">
      <w:pPr>
        <w:keepNext/>
        <w:keepLines/>
        <w:pageBreakBefore/>
        <w:spacing w:before="360" w:after="360" w:line="276" w:lineRule="auto"/>
        <w:jc w:val="center"/>
        <w:outlineLvl w:val="0"/>
        <w:rPr>
          <w:rFonts w:ascii="Calibri" w:eastAsia="MS Gothic" w:hAnsi="Calibri" w:cs="Calibri"/>
          <w:b/>
          <w:bCs/>
          <w:color w:val="2E74B5" w:themeColor="accent1" w:themeShade="BF"/>
          <w:sz w:val="52"/>
          <w:szCs w:val="52"/>
        </w:rPr>
      </w:pPr>
      <w:bookmarkStart w:id="0" w:name="_Toc170370351"/>
      <w:bookmarkStart w:id="1" w:name="_GoBack"/>
      <w:r w:rsidRPr="00C0779C">
        <w:rPr>
          <w:rFonts w:ascii="Calibri" w:eastAsia="MS Gothic" w:hAnsi="Calibri" w:cs="Calibri"/>
          <w:b/>
          <w:bCs/>
          <w:color w:val="2E74B5" w:themeColor="accent1" w:themeShade="BF"/>
          <w:sz w:val="52"/>
          <w:szCs w:val="52"/>
        </w:rPr>
        <w:t>OLSZTYN METROPOLITALNY, PRZEDSIĘBIORCZY I DOSTĘPNY</w:t>
      </w:r>
      <w:bookmarkEnd w:id="0"/>
    </w:p>
    <w:p w:rsidR="00C0779C" w:rsidRPr="00C0779C" w:rsidRDefault="00C0779C" w:rsidP="00C0779C">
      <w:pPr>
        <w:spacing w:after="120" w:line="276" w:lineRule="auto"/>
        <w:jc w:val="center"/>
        <w:rPr>
          <w:rFonts w:eastAsia="Arial Unicode MS" w:cstheme="minorHAnsi"/>
          <w:b/>
          <w:color w:val="2E74B5" w:themeColor="accent1" w:themeShade="BF"/>
          <w:sz w:val="52"/>
          <w:szCs w:val="52"/>
        </w:rPr>
      </w:pPr>
      <w:r w:rsidRPr="00C0779C">
        <w:rPr>
          <w:rFonts w:eastAsia="Arial Unicode MS" w:cstheme="minorHAnsi"/>
          <w:b/>
          <w:color w:val="2E74B5" w:themeColor="accent1" w:themeShade="BF"/>
          <w:sz w:val="52"/>
          <w:szCs w:val="52"/>
        </w:rPr>
        <w:t>PROGRAM WDROŻENIOWY</w:t>
      </w:r>
    </w:p>
    <w:bookmarkEnd w:id="1"/>
    <w:p w:rsidR="00C0779C" w:rsidRPr="00C0779C" w:rsidRDefault="00C0779C" w:rsidP="00C0779C">
      <w:pPr>
        <w:spacing w:after="120" w:line="276" w:lineRule="auto"/>
        <w:jc w:val="center"/>
        <w:rPr>
          <w:rFonts w:eastAsia="Arial Unicode MS" w:cstheme="minorHAnsi"/>
          <w:b/>
          <w:color w:val="000000" w:themeColor="text1"/>
          <w:sz w:val="52"/>
          <w:szCs w:val="52"/>
        </w:rPr>
      </w:pPr>
    </w:p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</w:p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  <w:r w:rsidRPr="00C0779C">
        <w:rPr>
          <w:rFonts w:eastAsia="Arial Unicode MS"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DE051A8" wp14:editId="21A99B82">
            <wp:extent cx="5637475" cy="3162089"/>
            <wp:effectExtent l="0" t="0" r="1905" b="635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75" cy="31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</w:p>
    <w:p w:rsidR="00C0779C" w:rsidRPr="00C0779C" w:rsidRDefault="00C0779C" w:rsidP="00C0779C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C0779C" w:rsidRPr="00C0779C" w:rsidRDefault="00C0779C" w:rsidP="00C0779C">
      <w:pPr>
        <w:rPr>
          <w:rFonts w:ascii="Calibri" w:eastAsia="Arial Unicode MS" w:hAnsi="Calibri" w:cs="Calibri"/>
          <w:color w:val="616161"/>
          <w:sz w:val="24"/>
          <w:szCs w:val="24"/>
        </w:rPr>
      </w:pPr>
      <w:r w:rsidRPr="00C0779C">
        <w:rPr>
          <w:rFonts w:ascii="Calibri" w:eastAsia="Arial Unicode MS" w:hAnsi="Calibri" w:cs="Calibri"/>
          <w:color w:val="616161"/>
          <w:sz w:val="24"/>
          <w:szCs w:val="24"/>
        </w:rPr>
        <w:br w:type="page"/>
      </w:r>
    </w:p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jc w:val="both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bookmarkStart w:id="2" w:name="_Toc153272564"/>
      <w:bookmarkStart w:id="3" w:name="_Toc165837690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lastRenderedPageBreak/>
        <w:t xml:space="preserve"> </w:t>
      </w:r>
      <w:bookmarkStart w:id="4" w:name="_Toc170370352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Przestrzenie dla biznesu</w:t>
      </w:r>
      <w:bookmarkEnd w:id="2"/>
      <w:bookmarkEnd w:id="3"/>
      <w:bookmarkEnd w:id="4"/>
    </w:p>
    <w:tbl>
      <w:tblPr>
        <w:tblStyle w:val="Tabela-Siatka3"/>
        <w:tblW w:w="9356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284"/>
      </w:tblGrid>
      <w:tr w:rsidR="00C0779C" w:rsidRPr="00C0779C" w:rsidTr="00192D00">
        <w:tc>
          <w:tcPr>
            <w:tcW w:w="9356" w:type="dxa"/>
            <w:gridSpan w:val="3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4"/>
                <w:szCs w:val="24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4"/>
                <w:szCs w:val="24"/>
              </w:rPr>
              <w:t>Przestrzenie dla biznesu</w:t>
            </w:r>
          </w:p>
        </w:tc>
      </w:tr>
      <w:tr w:rsidR="00C0779C" w:rsidRPr="00C0779C" w:rsidTr="00192D00">
        <w:trPr>
          <w:gridAfter w:val="1"/>
          <w:wAfter w:w="284" w:type="dxa"/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Projekt ma na celu podniesienie poziomu przedsiębiorczości mieszkańców i przyciąganie nowych inwestorów poprzez działania infrastrukturalne, polegające na zwiększeniu podaży przestrzeni otwartej i kubaturowej w mieście przeznaczanej na cele gospodarcze. 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14"/>
              </w:numPr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strefy przedsiębiorczości – rozwój istniejącej strefy przemysłowej (tj. terenów przemysłowych we wschodniej części miasta) w zakresie zwiększenia stopnia uzbrojenia dostępnych obszarów inwestycyjnych.</w:t>
            </w:r>
          </w:p>
          <w:p w:rsidR="00C0779C" w:rsidRPr="00C0779C" w:rsidRDefault="00C0779C" w:rsidP="00C0779C">
            <w:pPr>
              <w:numPr>
                <w:ilvl w:val="0"/>
                <w:numId w:val="14"/>
              </w:numPr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Rozszerzenie oferty dostępnych w mieście terenów inwestycyjnych, w tym o przeznaczeniu innym niż przemysłowe oraz tereny przeznaczone dla sektora MŚP. Działanie może zostać wsparte dostosowaniem / aktualizacją zapisów MPZP.</w:t>
            </w:r>
          </w:p>
          <w:p w:rsidR="00C0779C" w:rsidRPr="00C0779C" w:rsidRDefault="00C0779C" w:rsidP="00C0779C">
            <w:pPr>
              <w:numPr>
                <w:ilvl w:val="0"/>
                <w:numId w:val="14"/>
              </w:numPr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funkcji OPN-T – rozbudowa Olsztyńskiego Parku Naukowo-Technologicznego o:</w:t>
            </w:r>
          </w:p>
          <w:p w:rsidR="00C0779C" w:rsidRPr="00C0779C" w:rsidRDefault="00C0779C" w:rsidP="00C0779C">
            <w:pPr>
              <w:numPr>
                <w:ilvl w:val="1"/>
                <w:numId w:val="14"/>
              </w:numPr>
              <w:spacing w:after="60"/>
              <w:ind w:left="885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przestrzeń prototypową, tj. umożliwiającą prace nad prototypami produktów biznesowych (wyposażoną w maszyny, systemy, drukarki 3D wysokiej specjalizacji umożliwiające przedsiębiorcom, uczniom, studentom na wstępne zbudowanie prototypu, co umożliwi wstępne testowanie i da odpowiedź na ewentualne zapotrzebowanie na rynku, ewentualne funkcjonalności itp.). Przestrzeń ta będzie połączona z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Showroomem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;</w:t>
            </w:r>
          </w:p>
          <w:p w:rsidR="00C0779C" w:rsidRPr="00C0779C" w:rsidRDefault="00C0779C" w:rsidP="00C0779C">
            <w:pPr>
              <w:numPr>
                <w:ilvl w:val="1"/>
                <w:numId w:val="14"/>
              </w:numPr>
              <w:spacing w:after="60"/>
              <w:ind w:left="885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przestrzeń pod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Showroom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do kształcenia przyszłych kadr z dziedzin automatyki i robotyki. Możliwe rozwiązanie: platforma porozumienia między początkującymi firmami czy osobami, które chcą podjąć innowacyjną działalność gospodarczą a firmami rozwiniętymi produkcyjnie. Przestrzeń ułatwi kojarzenie partnerów, usług oraz przedsięwzięć dających możliwość prototypowania, testowania lub nauki przy jednoczesnej ekspozycji nowoczesnych i innowacyjnych rozwiązań z zakresu m.in. automatyki, robotyki, produkcji itp., zatem i promocji miasta.</w:t>
            </w:r>
          </w:p>
          <w:p w:rsidR="00C0779C" w:rsidRPr="00C0779C" w:rsidRDefault="00C0779C" w:rsidP="00C0779C">
            <w:pPr>
              <w:numPr>
                <w:ilvl w:val="0"/>
                <w:numId w:val="14"/>
              </w:numPr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Tworzenie przestrzeni biurowej i coworkingowej, w tym zwiększenie przestrzeni oferowanej w OPN-T.</w:t>
            </w:r>
          </w:p>
          <w:p w:rsidR="00C0779C" w:rsidRPr="00C0779C" w:rsidRDefault="00C0779C" w:rsidP="00C0779C">
            <w:pPr>
              <w:numPr>
                <w:ilvl w:val="0"/>
                <w:numId w:val="14"/>
              </w:numPr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gospodarcza miasta.</w:t>
            </w:r>
          </w:p>
        </w:tc>
      </w:tr>
      <w:tr w:rsidR="00C0779C" w:rsidRPr="00C0779C" w:rsidTr="00192D00">
        <w:trPr>
          <w:gridAfter w:val="1"/>
          <w:wAfter w:w="284" w:type="dxa"/>
          <w:trHeight w:val="518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gridAfter w:val="1"/>
          <w:wAfter w:w="284" w:type="dxa"/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Jednostka odpowiedzialna za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Proponowany: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0"/>
                <w:szCs w:val="20"/>
              </w:rPr>
              <w:t>Olsztyński Park Naukowo-Technologiczny</w:t>
            </w:r>
          </w:p>
        </w:tc>
      </w:tr>
      <w:tr w:rsidR="00C0779C" w:rsidRPr="00C0779C" w:rsidTr="00192D00">
        <w:trPr>
          <w:gridAfter w:val="1"/>
          <w:wAfter w:w="284" w:type="dxa"/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ul. Władysława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Trylińskiego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2, 10-683 Olsztyn</w:t>
            </w:r>
          </w:p>
        </w:tc>
      </w:tr>
      <w:tr w:rsidR="00C0779C" w:rsidRPr="00C0779C" w:rsidTr="00192D00">
        <w:trPr>
          <w:gridAfter w:val="1"/>
          <w:wAfter w:w="284" w:type="dxa"/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WMARR S.A., WMSSE S.A.</w:t>
            </w:r>
          </w:p>
        </w:tc>
      </w:tr>
      <w:tr w:rsidR="00C0779C" w:rsidRPr="00C0779C" w:rsidTr="00192D00">
        <w:trPr>
          <w:gridAfter w:val="1"/>
          <w:wAfter w:w="284" w:type="dxa"/>
          <w:trHeight w:val="543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gridAfter w:val="1"/>
          <w:wAfter w:w="284" w:type="dxa"/>
          <w:trHeight w:val="64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Cel operacyjny Strategii Rozwoju Miasta – Olsztyna 2030+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PRZEDSIĘBIORCZY</w:t>
            </w:r>
          </w:p>
        </w:tc>
      </w:tr>
      <w:tr w:rsidR="00C0779C" w:rsidRPr="00C0779C" w:rsidTr="00192D00">
        <w:trPr>
          <w:gridAfter w:val="1"/>
          <w:wAfter w:w="284" w:type="dxa"/>
          <w:trHeight w:val="313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Kierunek działań: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OBYWATEL / ORGANIZACJA / PRZESTRZEŃ</w:t>
            </w:r>
          </w:p>
        </w:tc>
      </w:tr>
      <w:tr w:rsidR="00C0779C" w:rsidRPr="00C0779C" w:rsidTr="00192D00">
        <w:trPr>
          <w:gridAfter w:val="1"/>
          <w:wAfter w:w="284" w:type="dxa"/>
          <w:trHeight w:val="65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przedsiębiorczości wśród mieszkańców, w tym w szczególności wśród młodzieży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rozwoju Olsztyńskiego Parku Naukowo-Technologicznego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rozwoju stref przedsiębiorczości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Podnoszenie atrakcyjności terenów inwestycyjnych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Aktualizacja rozwiązań planistycznych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Zwiększanie podaży powierzchni oferowanych przedsiębiorcom (w tym przestrzeni biurowych)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Rozbudowa Olsztyńskiego Parku Naukowo-Technologicznego o przestrzenie prototypowe</w:t>
            </w:r>
          </w:p>
          <w:p w:rsidR="00C0779C" w:rsidRPr="00C0779C" w:rsidRDefault="00C0779C" w:rsidP="00C0779C">
            <w:pPr>
              <w:numPr>
                <w:ilvl w:val="0"/>
                <w:numId w:val="15"/>
              </w:numPr>
              <w:spacing w:after="60"/>
              <w:ind w:left="461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Przeznaczenie przestrzeni pod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Showroom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do kształcenia przyszłych kadr z dziedzin automatyki i robotyki</w:t>
            </w:r>
          </w:p>
        </w:tc>
      </w:tr>
      <w:tr w:rsidR="00C0779C" w:rsidRPr="00C0779C" w:rsidTr="00192D00">
        <w:trPr>
          <w:gridAfter w:val="1"/>
          <w:wAfter w:w="284" w:type="dxa"/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pełni uzbrojone tereny inwestycyjne udostępnione dla inwestorów – ……. ha (do ustalenia przez Prezydenta Olsztyna, które tereny będą mogły stanowić ważną ofertę inwestycyjną miasta)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ofert inwestycyjnych zgłoszonych do RCOI lub PAIH – 6 szt.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Nowo utworzona przestrzeń prototypowa OPN-T – 200 m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Nowo utworzona przestrzeń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showrooom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OPN-T – 200 m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Nowo utworzona przestrzeń biurowa i coworkingowa OPN-T – 300 m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C0779C" w:rsidRPr="00C0779C" w:rsidTr="00192D00">
        <w:trPr>
          <w:gridAfter w:val="1"/>
          <w:wAfter w:w="284" w:type="dxa"/>
          <w:trHeight w:val="469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804" w:type="dxa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spacing w:after="120" w:line="240" w:lineRule="auto"/>
        <w:rPr>
          <w:rFonts w:eastAsia="Arial Unicode MS" w:cstheme="minorHAnsi"/>
          <w:color w:val="616161"/>
        </w:rPr>
      </w:pPr>
    </w:p>
    <w:p w:rsidR="00C0779C" w:rsidRPr="00C0779C" w:rsidRDefault="00C0779C" w:rsidP="00C0779C">
      <w:pPr>
        <w:rPr>
          <w:rFonts w:eastAsia="Arial Unicode MS" w:cstheme="minorHAnsi"/>
          <w:color w:val="616161"/>
        </w:rPr>
      </w:pPr>
      <w:r w:rsidRPr="00C0779C">
        <w:rPr>
          <w:rFonts w:eastAsia="Arial Unicode MS" w:cstheme="minorHAnsi"/>
          <w:color w:val="616161"/>
        </w:rPr>
        <w:br w:type="page"/>
      </w:r>
    </w:p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jc w:val="both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bookmarkStart w:id="5" w:name="_Toc153272567"/>
      <w:bookmarkStart w:id="6" w:name="_Toc165837691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lastRenderedPageBreak/>
        <w:t xml:space="preserve"> </w:t>
      </w:r>
      <w:bookmarkStart w:id="7" w:name="_Toc170370353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Olsztyński akcelerator regionalny</w:t>
      </w:r>
      <w:bookmarkEnd w:id="5"/>
      <w:bookmarkEnd w:id="6"/>
      <w:bookmarkEnd w:id="7"/>
    </w:p>
    <w:tbl>
      <w:tblPr>
        <w:tblStyle w:val="Tabela-Siatka3"/>
        <w:tblW w:w="9065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C0779C" w:rsidRPr="00C0779C" w:rsidTr="00192D00">
        <w:tc>
          <w:tcPr>
            <w:tcW w:w="9060" w:type="dxa"/>
            <w:gridSpan w:val="2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4"/>
                <w:szCs w:val="24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color w:val="000000" w:themeColor="text1"/>
                <w:sz w:val="24"/>
                <w:szCs w:val="24"/>
              </w:rPr>
              <w:t>Olsztyński akcelerator regionalny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Projekt polega na:</w:t>
            </w:r>
          </w:p>
          <w:p w:rsidR="00C0779C" w:rsidRPr="00C0779C" w:rsidRDefault="00C0779C" w:rsidP="00C077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457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Wzmocnieniu współpracy biznesu – nauki – instytucji otoczenia.</w:t>
            </w:r>
          </w:p>
          <w:p w:rsidR="00C0779C" w:rsidRPr="00C0779C" w:rsidRDefault="00C0779C" w:rsidP="00C077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457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Wspieraniu biznesu neutralnego ekologicznie (miasto ogród, zieleń, jeziora).</w:t>
            </w:r>
          </w:p>
          <w:p w:rsidR="00C0779C" w:rsidRPr="00C0779C" w:rsidRDefault="00C0779C" w:rsidP="00C077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4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Wytworzeniu silnej specjalizacji gospodarczej miasta „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ultraspecjalizacja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” (usługi senioralne, oferta senioralna dla turystów, usługi medyczne, miasto nowych możliwości dla wypalonych zawodowo, w tym komfortowej pracy zdalnej).</w:t>
            </w:r>
          </w:p>
          <w:p w:rsidR="00C0779C" w:rsidRPr="00C0779C" w:rsidRDefault="00C0779C" w:rsidP="00C077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457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Rozwoju funkcji OPN-T.</w:t>
            </w:r>
          </w:p>
          <w:p w:rsidR="00C0779C" w:rsidRPr="00C0779C" w:rsidRDefault="00C0779C" w:rsidP="00C077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457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Powołanie spółki miejskiej – „Agencja Rozwoju Olsztyna”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462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Olsztyński Integrator Kontaktów – utworzenie ciała doradczego złożonego z przedstawicieli różnych branż, uczelni, instytucji otoczenia biznesu działających na terenie Olsztyna (współpraca WMARR S.A. + EEN + COIE + W-MSSE S.A.+ OPN-T + Centrum Przetwarzania Danych). Jego zadaniem jest wyznaczanie kierunków rozwoju dla sektora biznesu i stworzenie platformy wymiany wiedzy i współpracy z otoczeniem zewnętrznym, w tym międzynarodowym. W ramach integratora zakłada się funkcjonowanie:</w:t>
            </w:r>
          </w:p>
          <w:p w:rsidR="00C0779C" w:rsidRPr="00C0779C" w:rsidRDefault="00C0779C" w:rsidP="00C077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26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giełdy ekspertów – tj. ciała o charakterze interdyscyplinarnym, funkcjonującego w ramach różnych obszarów tematycznych, opartego na potwierdzonym systemie rekomendacji z lokalnych firm, instytucji i uczelni. Funkcjonowanie giełdy oparte jest o współpracę z ekspertami wewnętrznymi i zewnętrznymi. Celem działania giełdy jest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networking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i wymiana doświadczeń przedstawicieli lokalnych firm z ekspertami, którzy odnieśli sukces w biznesie;</w:t>
            </w:r>
          </w:p>
          <w:p w:rsidR="00C0779C" w:rsidRPr="00C0779C" w:rsidRDefault="00C0779C" w:rsidP="00C077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26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giełdy innowacji – polegającej na stworzeniu dostępu do bazy wiedzy i projektów z regionu (w tym naukowych), wyników badań i prac B+R (propozycja otwarcia i promocji strony „invest.olsztyn.eu”);</w:t>
            </w:r>
          </w:p>
          <w:p w:rsidR="00C0779C" w:rsidRPr="00C0779C" w:rsidRDefault="00C0779C" w:rsidP="00C077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26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strony internetowej / aplikacji – narzędzia do wymiany informacji i kontaktów; prezentacji oferty inwestycyjnej i promocji walorów gospodarczych (propozycja otwarcia i promocji strony „invest.olsztyn.eu”);</w:t>
            </w:r>
          </w:p>
          <w:p w:rsidR="00C0779C" w:rsidRPr="00C0779C" w:rsidRDefault="00C0779C" w:rsidP="00C077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26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audyt miejskich przestrzeni dla biznesu – analiza dostępnych lokali, terenów, które mogą być przystosowane/udostępnione do celów gospodarczych</w:t>
            </w:r>
          </w:p>
          <w:p w:rsidR="00C0779C" w:rsidRPr="00C0779C" w:rsidRDefault="00C0779C" w:rsidP="00C077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459" w:hanging="357"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Nowoczesne usługi biznesowe – 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stworzenie Centrów Usług Wspólnych dających możliwość zatrudnienia absolwentów olsztyńskich uczelni, młodych mieszkańców oraz uatrakcyjniające Olsztyn jako miejsce z dobrą ofertą pracy dla wykwalifikowanej kadry i jednocześnie zapewniające realizację usług, procesów biznesowych w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zdigitalizowanej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, możliwie jak najbardziej innowacyjnej formie.  Może to dotyczyć m.in. usług księgowych, informatycznych czy nawet biznesowych itp.</w:t>
            </w:r>
          </w:p>
          <w:p w:rsidR="00C0779C" w:rsidRPr="00C0779C" w:rsidRDefault="00C0779C" w:rsidP="00C077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459" w:hanging="357"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Realizacja</w:t>
            </w: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 targów biznesowych pod patronatem Prezydenta Miasta Olsztyna: w tym medyczne – krajowe i międzynarodowe.</w:t>
            </w:r>
          </w:p>
          <w:p w:rsidR="00C0779C" w:rsidRPr="00C0779C" w:rsidRDefault="00C0779C" w:rsidP="00C077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459" w:hanging="357"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Powołanie spółki miejskiej Agencja Rozwoju Olsztyna (w zamian planowanego w Strategii utworzenie stanowiska pełnomocnika ds. współpracy z biznesem, które uznano za działanie niewystarczające). Docelowo ARO </w:t>
            </w:r>
          </w:p>
        </w:tc>
      </w:tr>
      <w:tr w:rsidR="00C0779C" w:rsidRPr="00C0779C" w:rsidTr="00192D00">
        <w:trPr>
          <w:trHeight w:val="506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lastRenderedPageBreak/>
              <w:t>Jednostka odpowiedzialna za realizację projektu: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Urząd Miasta Olsztyna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plac Jana </w:t>
            </w:r>
            <w:proofErr w:type="spellStart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Pawla</w:t>
            </w:r>
            <w:proofErr w:type="spellEnd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 II 1, 10-101 Olsztyn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shd w:val="clear" w:color="auto" w:fill="auto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OPN-T, WMARR S.A., Centrum Współpracy z Otoczeniem Społeczno-Gospodarczym UWM</w:t>
            </w:r>
          </w:p>
        </w:tc>
      </w:tr>
      <w:tr w:rsidR="00C0779C" w:rsidRPr="00C0779C" w:rsidTr="00192D00">
        <w:trPr>
          <w:trHeight w:val="509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Cel operacyjny </w:t>
            </w:r>
            <w:r w:rsidRPr="00C0779C">
              <w:rPr>
                <w:rFonts w:eastAsia="Arial Unicode MS" w:cstheme="minorHAnsi"/>
                <w:bCs/>
                <w:i/>
                <w:color w:val="000000" w:themeColor="text1"/>
                <w:sz w:val="20"/>
                <w:szCs w:val="20"/>
              </w:rPr>
              <w:t>Strategii Rozwoju Miasta – Olsztyna 2030+</w:t>
            </w: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OLSZTYN PRZEDSIĘBIORCZY</w:t>
            </w:r>
          </w:p>
        </w:tc>
      </w:tr>
      <w:tr w:rsidR="00C0779C" w:rsidRPr="00C0779C" w:rsidTr="00192D00">
        <w:trPr>
          <w:trHeight w:val="499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Kierunek działań: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OBYWATEL / ORGANIZACJA / PRZESTRZEŃ</w:t>
            </w:r>
          </w:p>
        </w:tc>
      </w:tr>
      <w:tr w:rsidR="00C0779C" w:rsidRPr="00C0779C" w:rsidTr="00192D00">
        <w:trPr>
          <w:trHeight w:val="65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przedsiębiorczości wśród mieszkańców, w tym w szczególności wśród młodzieży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inkubacji, akceleracji i komercjalizacji pomysłów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Poprawa warunków gospodarczych do zakładania i rozwoju start-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upów</w:t>
            </w:r>
            <w:proofErr w:type="spellEnd"/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Sieciowanie przedsiębiorców, w tym wspieranie rozwoju klastrów branżowych i projektowych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rozwoju Olsztyńskiego Parku Naukowo-Technologicznego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merytoryczne dla firm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zastosowania sztucznej inteligencji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ekspertów w bazie – 500 osób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oferowanych usług – 200 indywidualnych usług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Otwarcie invest.olsztyn.eu 0/1 (?)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Uruchomienie biura biznesu 0/1 (3 etaty, budżet na kontakty, podróże krajowe, reprezentacja)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Audyt miejskich przestrzeni biznesowych 0/1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Usługi biznesowe  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targów gospodarczych – 1 impreza międzynarodowa rocznie (uwaga wskaźnik ten sam dla Olsztyńskich relacji międzynarodowych)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imprez targowych w Olsztynie</w:t>
            </w:r>
          </w:p>
          <w:p w:rsidR="00C0779C" w:rsidRPr="00C0779C" w:rsidRDefault="00C0779C" w:rsidP="00C077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Powołanie spółki miejskiej ARO 0/1 (wskaźniki będą uzupełnione po przyjęciu przez Zarząd ARO planu działań)</w:t>
            </w:r>
          </w:p>
        </w:tc>
      </w:tr>
      <w:tr w:rsidR="00C0779C" w:rsidRPr="00C0779C" w:rsidTr="00192D00">
        <w:trPr>
          <w:trHeight w:val="481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797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616161"/>
          <w:sz w:val="20"/>
          <w:szCs w:val="20"/>
        </w:rPr>
      </w:pPr>
    </w:p>
    <w:p w:rsidR="00C0779C" w:rsidRPr="00C0779C" w:rsidRDefault="00C0779C" w:rsidP="00C0779C">
      <w:pPr>
        <w:rPr>
          <w:rFonts w:eastAsia="MS Gothic" w:cstheme="minorHAnsi"/>
          <w:b/>
          <w:bCs/>
          <w:color w:val="616161"/>
          <w:sz w:val="36"/>
          <w:szCs w:val="36"/>
        </w:rPr>
      </w:pPr>
      <w:bookmarkStart w:id="8" w:name="_Toc153272569"/>
      <w:bookmarkStart w:id="9" w:name="_Toc165837692"/>
      <w:r w:rsidRPr="00C0779C">
        <w:rPr>
          <w:rFonts w:eastAsia="Arial Unicode MS" w:cstheme="minorHAnsi"/>
          <w:color w:val="616161"/>
          <w:sz w:val="24"/>
          <w:szCs w:val="24"/>
        </w:rPr>
        <w:br w:type="page"/>
      </w:r>
    </w:p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jc w:val="both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r w:rsidRPr="00C0779C">
        <w:rPr>
          <w:rFonts w:eastAsia="MS Gothic" w:cstheme="minorHAnsi"/>
          <w:b/>
          <w:bCs/>
          <w:color w:val="616161"/>
          <w:sz w:val="36"/>
          <w:szCs w:val="36"/>
        </w:rPr>
        <w:lastRenderedPageBreak/>
        <w:t xml:space="preserve"> </w:t>
      </w:r>
      <w:bookmarkStart w:id="10" w:name="_Toc170370354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Cyfrowy Olsztyn 3.0</w:t>
      </w:r>
      <w:bookmarkEnd w:id="8"/>
      <w:bookmarkEnd w:id="9"/>
      <w:bookmarkEnd w:id="10"/>
    </w:p>
    <w:tbl>
      <w:tblPr>
        <w:tblStyle w:val="Tabela-Siatka3"/>
        <w:tblW w:w="9067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C0779C" w:rsidRPr="00C0779C" w:rsidTr="00192D00">
        <w:tc>
          <w:tcPr>
            <w:tcW w:w="9067" w:type="dxa"/>
            <w:gridSpan w:val="2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4"/>
                <w:szCs w:val="24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4"/>
                <w:szCs w:val="24"/>
              </w:rPr>
              <w:t>Cyfrowy Olsztyn 3.0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Projekt ma na celu rozwój dotychczasowych narzędzi kontaktu z mieszkańcami. 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Rozwój stron internetowych (olsztyn.eu;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visit.olsztyn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; cyfrowy.olsztyn.eu; invest.olsztyn.eu) wraz z funkcją „tablicy ogłoszeń”) oraz zagwarantowanie budżetu na ich utrzymanie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Integracja i intensyfikacja działań informacyjnych – online (przeniesienie danych ze starego BIP do nowego) (obecnie jest 175 e-dokumentów)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Poprawa Public Relations UM Olsztyna – nowa kampania PR działań władz lokalnych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Rozszerzenie funkcji olsztyńskiej karty mieszkańca (np. dostęp do obiektów sportowych, bibliotek, itp.)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teleinformacyjnej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 kursów wsparcia dla wykluczonych cyfrowo; wsparcie działań grup samopomocowych;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Cykliczna konferencja „Olsztyn w badaniach naukowych” (raz w roku)</w:t>
            </w:r>
          </w:p>
          <w:p w:rsidR="00C0779C" w:rsidRPr="00C0779C" w:rsidRDefault="00C0779C" w:rsidP="00C077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Cykliczny raport o udostępnionych e-usługach (raz w roku)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Trebuchet MS" w:cstheme="minorHAnsi"/>
                <w:i/>
                <w:color w:val="000000" w:themeColor="text1"/>
                <w:spacing w:val="-4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Jednostka odpowiedzialna za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Centrum informatycznych Usług Wspólnych Olsztyn (Urząd Miasta Olsztyna)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Plac Jana Pawła II 1, 10-101 Olsztyn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Cel operacyjny </w:t>
            </w:r>
            <w:r w:rsidRPr="00C0779C"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  <w:t>Strategii Rozwoju Miasta – Olsztyna 2030+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OLSZTYN DOSTĘPNY</w:t>
            </w:r>
          </w:p>
        </w:tc>
      </w:tr>
      <w:tr w:rsidR="00C0779C" w:rsidRPr="00C0779C" w:rsidTr="00192D00">
        <w:trPr>
          <w:trHeight w:val="309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Kierunek działań: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OBYWATEL / ORGANIZACJA / PRZESTRZEŃ</w:t>
            </w:r>
          </w:p>
        </w:tc>
      </w:tr>
      <w:tr w:rsidR="00C0779C" w:rsidRPr="00C0779C" w:rsidTr="00192D00">
        <w:trPr>
          <w:trHeight w:val="244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Zwiększanie dostępu mieszkańców do informacji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Zwiększanie dostępu mieszkańców do usług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Wzmocnienie idei uczącego się urzędu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cyfryzacji i digitalizacji danych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udostępnianie danych miejskich zgodnie z ideą „otwartego urzędu” i SMART CITY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Wzmocnienie roli wspólnych centrów usługowych i zakupowych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partnerstwa międzyinstytucjonalnego i międzygminnego w zakresie rozwoju e-usług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teleinformatycznej</w:t>
            </w:r>
          </w:p>
        </w:tc>
      </w:tr>
      <w:tr w:rsidR="00C0779C" w:rsidRPr="00C0779C" w:rsidTr="00192D00">
        <w:trPr>
          <w:trHeight w:val="767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usług e-administracji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Konferencja Olsztyn w badaniach naukowych – 1 co roku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raportów o e-usługach – 1 co dwa lata (?)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Liczba kursów dla „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niecyfrowych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” – 2 rocznie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szkoleń PR dla prezydenta i wiceprezydentów – 8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„żywych kont” na stronach UM</w:t>
            </w:r>
          </w:p>
          <w:p w:rsidR="00C0779C" w:rsidRPr="00C0779C" w:rsidRDefault="00C0779C" w:rsidP="00C077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Odsetek wniosków urzędowych w </w:t>
            </w:r>
            <w:proofErr w:type="spellStart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 – 90%</w:t>
            </w:r>
          </w:p>
        </w:tc>
      </w:tr>
      <w:tr w:rsidR="00C0779C" w:rsidRPr="00C0779C" w:rsidTr="00192D00">
        <w:trPr>
          <w:trHeight w:val="478"/>
        </w:trPr>
        <w:tc>
          <w:tcPr>
            <w:tcW w:w="2263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Inne uwarunkowania/uwagi: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616161"/>
          <w:sz w:val="20"/>
          <w:szCs w:val="20"/>
        </w:rPr>
      </w:pPr>
    </w:p>
    <w:p w:rsidR="00C0779C" w:rsidRPr="00C0779C" w:rsidRDefault="00C0779C" w:rsidP="00C0779C">
      <w:pPr>
        <w:spacing w:after="120" w:line="278" w:lineRule="exact"/>
        <w:ind w:left="4956" w:firstLine="708"/>
        <w:jc w:val="both"/>
        <w:rPr>
          <w:rFonts w:eastAsia="Arial Unicode MS" w:cstheme="minorHAnsi"/>
          <w:color w:val="616161"/>
          <w:sz w:val="20"/>
          <w:szCs w:val="20"/>
        </w:rPr>
      </w:pPr>
    </w:p>
    <w:p w:rsidR="00C0779C" w:rsidRPr="00C0779C" w:rsidRDefault="00C0779C" w:rsidP="00C0779C">
      <w:pPr>
        <w:rPr>
          <w:rFonts w:eastAsia="Arial Unicode MS" w:cstheme="minorHAnsi"/>
          <w:color w:val="616161"/>
          <w:sz w:val="24"/>
          <w:szCs w:val="24"/>
        </w:rPr>
      </w:pPr>
    </w:p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jc w:val="both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bookmarkStart w:id="11" w:name="_Toc153272568"/>
      <w:bookmarkStart w:id="12" w:name="_Toc165837693"/>
      <w:bookmarkStart w:id="13" w:name="_Toc153272565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 xml:space="preserve"> </w:t>
      </w:r>
      <w:bookmarkStart w:id="14" w:name="_Toc170370355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Olsztyńskie relacje międzynarodowe</w:t>
      </w:r>
      <w:bookmarkEnd w:id="11"/>
      <w:bookmarkEnd w:id="12"/>
      <w:bookmarkEnd w:id="14"/>
    </w:p>
    <w:tbl>
      <w:tblPr>
        <w:tblStyle w:val="Tabela-Siatka3"/>
        <w:tblW w:w="9072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C0779C" w:rsidRPr="00C0779C" w:rsidTr="00192D00">
        <w:tc>
          <w:tcPr>
            <w:tcW w:w="9072" w:type="dxa"/>
            <w:gridSpan w:val="2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4"/>
                <w:szCs w:val="24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4"/>
                <w:szCs w:val="24"/>
              </w:rPr>
              <w:t>Olsztyńskie relacje międzynarodowe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ma na celu zwiększenie międzynarodowej rozpoznawalności Olsztyna, głównie w Europie. Oznacza to ukierunkowaną promocję zewnętrzną (korelacja z Olsztynem zapraszającym) oraz wykreowanie inicjatyw o cyklicznym i międzynarodowym charakterze.</w:t>
            </w:r>
          </w:p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Międzynarodowa impreza gospodarcza (targi i misje gospodarcze w Olsztynie).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Międzynarodowa impreza kulturalna (reaktywacja nocy bluesowych, poezja śpiewana, demoludy,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green</w:t>
            </w:r>
            <w:proofErr w:type="spellEnd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festiwal).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Międzynarodowa impreza edukacyjna.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Międzynarodowa impreza dla młodzieży.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Międzynarodowa impreza sportowa – siatkówka plażowa.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Międzynarodowa impreza polityczna – „CAMPUS POLSKA i EUROPA PRZYSZŁOŚCI”.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Rewitalizacja dotychczasowej współpracy partnerskiej z miastami (Niemcy, Francja, Litwa, Eurazja, Bałtyk).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Stworzenie planu ukierunkowanej promocji gospodarczej (do zadań Agencji Rozwoju Olsztyna).</w:t>
            </w:r>
          </w:p>
          <w:p w:rsidR="00C0779C" w:rsidRPr="00C0779C" w:rsidRDefault="00C0779C" w:rsidP="00C077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Utworzenie funkcji Ambasadorów Olsztyna (praktyczny – honorowy – w miastach partnerskich) we współpracy z promocją gospodarczą.</w:t>
            </w:r>
          </w:p>
        </w:tc>
      </w:tr>
      <w:tr w:rsidR="00C0779C" w:rsidRPr="00C0779C" w:rsidTr="00192D00">
        <w:trPr>
          <w:trHeight w:val="465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Trebuchet MS" w:cstheme="minorHAnsi"/>
                <w:i/>
                <w:color w:val="000000" w:themeColor="text1"/>
                <w:spacing w:val="-4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Jednostka odpowiedzialna za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Urząd Miasta Olsztyna (MOK / Teatr / </w:t>
            </w:r>
            <w:proofErr w:type="spellStart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OSiR</w:t>
            </w:r>
            <w:proofErr w:type="spellEnd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 / Instytucje kultury)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plac Jana Pawła II 1, 10-101 Olsztyn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autoSpaceDE w:val="0"/>
              <w:autoSpaceDN w:val="0"/>
              <w:adjustRightInd w:val="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NGO-</w:t>
            </w:r>
            <w:proofErr w:type="spellStart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sy</w:t>
            </w:r>
            <w:proofErr w:type="spellEnd"/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; IOB; OPN-T</w:t>
            </w:r>
          </w:p>
        </w:tc>
      </w:tr>
      <w:tr w:rsidR="00C0779C" w:rsidRPr="00C0779C" w:rsidTr="00192D00">
        <w:trPr>
          <w:trHeight w:val="580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Cel operacyjny </w:t>
            </w:r>
            <w:r w:rsidRPr="00C0779C"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  <w:t>Strategii Rozwoju Miasta – Olsztyna 2030+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120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OLSZTYN METROPOLITALNY</w:t>
            </w:r>
          </w:p>
        </w:tc>
      </w:tr>
      <w:tr w:rsidR="00C0779C" w:rsidRPr="00C0779C" w:rsidTr="00192D00">
        <w:trPr>
          <w:trHeight w:val="331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Kierunek działań: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OBYWATEL / ORGANIZACJA</w:t>
            </w:r>
          </w:p>
        </w:tc>
      </w:tr>
      <w:tr w:rsidR="00C0779C" w:rsidRPr="00C0779C" w:rsidTr="00192D00">
        <w:trPr>
          <w:trHeight w:val="65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mieszkańców w nawiązywaniu i rozwijaniu relacji międzynarodowych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Wzmacnianie pozycji miasta wojewódzkiego na arenie krajowej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współpracy aglomeracji Olsztyna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Intensyfikacja wykorzystania partnerskich kontaktów międzynarodowych samorządu lokalnego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międzynarodowych kontaktów olsztyńskich organizacji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Opracowanie regulaminu i zasad działania funkcji „Ambasadora Olsztyna” 0/1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Liczba ambasadorów 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imprez międzynarodowych, które odbywają się cyklicznie w Olsztynie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targów gospodarczych poza granicami kraju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misji gospodarczych poza granicami kraju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targów gospodarczych w Olsztynie (uwaga na Akcelerator!)</w:t>
            </w:r>
          </w:p>
          <w:p w:rsidR="00C0779C" w:rsidRPr="00C0779C" w:rsidRDefault="00C0779C" w:rsidP="00C077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Liczba zagranicznych misji gospodarczych w Olsztynie</w:t>
            </w:r>
          </w:p>
        </w:tc>
      </w:tr>
      <w:tr w:rsidR="00C0779C" w:rsidRPr="00C0779C" w:rsidTr="00192D00">
        <w:trPr>
          <w:trHeight w:val="545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616161"/>
          <w:sz w:val="20"/>
          <w:szCs w:val="20"/>
        </w:rPr>
      </w:pPr>
    </w:p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C0779C" w:rsidRPr="00C0779C" w:rsidRDefault="00C0779C" w:rsidP="00C0779C">
      <w:pPr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jc w:val="both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bookmarkStart w:id="15" w:name="_Toc165837694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 xml:space="preserve"> </w:t>
      </w:r>
      <w:bookmarkStart w:id="16" w:name="_Toc170370356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Podróże miejskie i aglomeracyjne</w:t>
      </w:r>
      <w:bookmarkEnd w:id="13"/>
      <w:bookmarkEnd w:id="15"/>
      <w:bookmarkEnd w:id="16"/>
    </w:p>
    <w:tbl>
      <w:tblPr>
        <w:tblStyle w:val="Tabela-Siatka3"/>
        <w:tblW w:w="9201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  <w:gridCol w:w="131"/>
      </w:tblGrid>
      <w:tr w:rsidR="00C0779C" w:rsidRPr="00C0779C" w:rsidTr="00192D00">
        <w:trPr>
          <w:gridAfter w:val="1"/>
          <w:wAfter w:w="131" w:type="dxa"/>
        </w:trPr>
        <w:tc>
          <w:tcPr>
            <w:tcW w:w="9070" w:type="dxa"/>
            <w:gridSpan w:val="2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4"/>
                <w:szCs w:val="24"/>
              </w:rPr>
              <w:t>Podróże miejskie i aglomeracyjne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spacing w:after="60"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Projekt ukierunkowany jest na działania związane z rozwojem systemu transportu wewnątrz miasta oraz jego miejskiego obszaru funkcjonalnego. Jego celem jest poprawa dostępności wewnętrznej obszaru, co ma być związane z rozwojem różnych typów transportu. Zgodnie z ideą miasta 15-minutowego, projekt ma na celu zapewnienie możliwe najwyższej dostępności przestrzennej do różnego typu usług przy wykorzystaniu tzw. mobilności aktywnej (ruch pieszy i rowerowy), a także łączenie przestrzeni atrakcyjnych turystycznie. Projekt zakłada także poprawę funkcjonowania transportu zbiorowego. </w:t>
            </w:r>
          </w:p>
          <w:p w:rsidR="00C0779C" w:rsidRPr="00C0779C" w:rsidRDefault="00C0779C" w:rsidP="00C0779C">
            <w:pPr>
              <w:spacing w:after="60"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Rozbudowa infrastruktury przesiadkowej na terenie MOF Olsztyna – w tym parkingi P+R i B+R.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Rozwój połączeń rowerowych i pieszych.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Zawiązanie partnerstwa między gminami MOF w ramach organizacji publicznego transportu zbiorowego i rozwój współpracy w ramach organizacji komunikacji zbiorowej poza MOF.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Utworzenie wspólnego biletu.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Rozwój inteligentnych systemów transportowych w zakresie zarządzania ruchem drogowym.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Wdrożenie cyfrowego systemu (z aplikacją mobilną) realizacji podróży wspólnego dla MOF (zakup biletów, planowanie tras, integracja różnych form podróży).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9" w:hanging="260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Utworzenie systemu zachęt wyboru komunikacji publicznej jako środka transportu. </w:t>
            </w:r>
          </w:p>
          <w:p w:rsidR="00C0779C" w:rsidRPr="00C0779C" w:rsidRDefault="00C0779C" w:rsidP="00C077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8" w:hanging="261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Zakup nowoczesnego oraz nisko- i zeroemisyjnego taboru transportu zbiorowego.</w:t>
            </w:r>
          </w:p>
          <w:p w:rsidR="00C0779C" w:rsidRPr="00C0779C" w:rsidRDefault="00C0779C" w:rsidP="00C0779C">
            <w:pPr>
              <w:autoSpaceDE w:val="0"/>
              <w:autoSpaceDN w:val="0"/>
              <w:adjustRightInd w:val="0"/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Powyższe zadania zostaną zrealizowane na zasadach i w zakresie potrzeb wynikających z dokumentów:</w:t>
            </w:r>
          </w:p>
          <w:p w:rsidR="00C0779C" w:rsidRPr="00C0779C" w:rsidRDefault="00C0779C" w:rsidP="00C077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459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/>
                <w:iCs/>
                <w:color w:val="000000" w:themeColor="text1"/>
                <w:sz w:val="20"/>
                <w:szCs w:val="20"/>
              </w:rPr>
              <w:t>Plan zrównoważonej mobilności miejskiej dla Miejskiego Obszaru Funkcjonalnego Olsztyna 2030+,</w:t>
            </w:r>
          </w:p>
          <w:p w:rsidR="00C0779C" w:rsidRPr="00C0779C" w:rsidRDefault="00C0779C" w:rsidP="00C077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459"/>
              <w:contextualSpacing/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/>
                <w:iCs/>
                <w:color w:val="000000" w:themeColor="text1"/>
                <w:sz w:val="20"/>
                <w:szCs w:val="20"/>
              </w:rPr>
              <w:t>Analiza możliwości lokalizacji parkingów P+R w Olsztynie i jego obszarze funkcjonalnym,</w:t>
            </w:r>
          </w:p>
          <w:p w:rsidR="00C0779C" w:rsidRPr="00C0779C" w:rsidRDefault="00C0779C" w:rsidP="00C077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459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  <w:t>Koncepcja rozwoju dróg rowerowych w Olsztynie z rozszerzeniem na Miejski Obszar Funkcjonalny Olsztyna.</w:t>
            </w:r>
          </w:p>
        </w:tc>
      </w:tr>
      <w:tr w:rsidR="00C0779C" w:rsidRPr="00C0779C" w:rsidTr="00192D00">
        <w:trPr>
          <w:trHeight w:val="495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lastRenderedPageBreak/>
              <w:t>Termin realizacji projektu: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Jednostka odpowiedzialna za realizację projektu: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Urząd Miasta Olsztyna (Zarząd Dróg Zieleni i Transportu w Olsztynie)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spacing w:line="276" w:lineRule="auto"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plac Jana Pawła II 1, 10-101 Olsztyn </w:t>
            </w:r>
          </w:p>
        </w:tc>
      </w:tr>
      <w:tr w:rsidR="00C0779C" w:rsidRPr="00C0779C" w:rsidTr="00192D00">
        <w:trPr>
          <w:trHeight w:val="27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spacing w:line="276" w:lineRule="auto"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Starostwo Powiatowe w Olsztynie / Urząd Marszałkowski Województwa Warmińsko-Mazurskiego w Olsztynie / PKM - kolej podmiejska</w:t>
            </w:r>
          </w:p>
        </w:tc>
      </w:tr>
      <w:tr w:rsidR="00C0779C" w:rsidRPr="00C0779C" w:rsidTr="00192D00">
        <w:trPr>
          <w:trHeight w:val="61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Cel operacyjny </w:t>
            </w:r>
            <w:r w:rsidRPr="00C0779C">
              <w:rPr>
                <w:rFonts w:eastAsia="Arial Unicode MS" w:cstheme="minorHAnsi"/>
                <w:bCs/>
                <w:i/>
                <w:color w:val="000000" w:themeColor="text1"/>
                <w:sz w:val="20"/>
                <w:szCs w:val="20"/>
              </w:rPr>
              <w:t>Strategii Rozwoju Miasta – Olsztyna 2030+</w:t>
            </w: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OLSZTYN DOSTĘPNY</w:t>
            </w:r>
          </w:p>
        </w:tc>
      </w:tr>
      <w:tr w:rsidR="00C0779C" w:rsidRPr="00C0779C" w:rsidTr="00192D00">
        <w:trPr>
          <w:trHeight w:val="555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Kierunek działań: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OBYWATEL / ORGANIZACJA / PRZESTRZEŃ</w:t>
            </w:r>
          </w:p>
        </w:tc>
      </w:tr>
      <w:tr w:rsidR="00C0779C" w:rsidRPr="00C0779C" w:rsidTr="00192D00">
        <w:trPr>
          <w:trHeight w:val="65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Zwiększanie dostępu mieszkańców do informacji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Zwiększanie dostępu mieszkańców do usług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cyfryzacji i digitalizacji danych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partnerstwa międzyinstytucjonalnego i międzygminnego w zakresie rozwoju e-usług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sprawnej i przyjaznej komunikacji miejskiej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transportu niskoemisyjnego i zeroemisyjnego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Rozwój i promocja </w:t>
            </w:r>
            <w:proofErr w:type="spellStart"/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ekomobilności</w:t>
            </w:r>
            <w:proofErr w:type="spellEnd"/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inteligentnych systemów transportowych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dostępności do terenów zieleni urządzonej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Zachowanie i udrażnianie istniejących zielonych i bezkolizyjnych szlaków pieszych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przyjaznych przestrzeni dla pieszych i rowerzystów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teleinformatycznej</w:t>
            </w:r>
          </w:p>
          <w:p w:rsidR="00C0779C" w:rsidRPr="00C0779C" w:rsidRDefault="00C0779C" w:rsidP="00C077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60"/>
              <w:contextualSpacing/>
              <w:jc w:val="both"/>
              <w:rPr>
                <w:rFonts w:eastAsia="Arial Unicode MS" w:cstheme="minorHAnsi"/>
                <w:b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Zintegrowane programy rozwoju przestrzennego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933" w:type="dxa"/>
            <w:gridSpan w:val="2"/>
            <w:vAlign w:val="center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miejsc na parkingach przesiadkowych – 4000 miejsc w systemie P+R/B+R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% przewoźników zintegrowanych w systemie wspólnego biletu – 100%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Liczba km nowych tras rowerowych – 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Liczba km nowych tras pieszych – 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abonentów aplikacji (</w:t>
            </w: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 xml:space="preserve">cyfrowego systemu realizacji podróży) </w:t>
            </w: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40 000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zakupionych autobusów/tramwajów – 40</w:t>
            </w:r>
          </w:p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inicjatyw edukacyjnych/promocyjnych ukierunkowanych na zachęcanie do wykorzystania transportu zbiorowego – 400</w:t>
            </w:r>
          </w:p>
        </w:tc>
      </w:tr>
      <w:tr w:rsidR="00C0779C" w:rsidRPr="00C0779C" w:rsidTr="00192D00">
        <w:trPr>
          <w:trHeight w:val="42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933" w:type="dxa"/>
            <w:gridSpan w:val="2"/>
          </w:tcPr>
          <w:p w:rsidR="00C0779C" w:rsidRPr="00C0779C" w:rsidRDefault="00C0779C" w:rsidP="00C0779C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keepNext/>
        <w:keepLines/>
        <w:numPr>
          <w:ilvl w:val="1"/>
          <w:numId w:val="0"/>
        </w:numPr>
        <w:spacing w:before="360" w:after="360" w:line="276" w:lineRule="auto"/>
        <w:ind w:left="567" w:hanging="576"/>
        <w:outlineLvl w:val="1"/>
        <w:rPr>
          <w:rFonts w:eastAsia="MS Gothic" w:cstheme="minorHAnsi"/>
          <w:b/>
          <w:bCs/>
          <w:color w:val="616161"/>
          <w:sz w:val="36"/>
          <w:szCs w:val="36"/>
        </w:rPr>
      </w:pPr>
      <w:bookmarkStart w:id="17" w:name="_Toc153272566"/>
      <w:bookmarkStart w:id="18" w:name="_Toc165837695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lastRenderedPageBreak/>
        <w:t xml:space="preserve"> </w:t>
      </w:r>
      <w:bookmarkStart w:id="19" w:name="_Toc170370357"/>
      <w:r w:rsidRPr="00C0779C">
        <w:rPr>
          <w:rFonts w:eastAsia="MS Gothic" w:cstheme="minorHAnsi"/>
          <w:b/>
          <w:bCs/>
          <w:color w:val="616161"/>
          <w:sz w:val="36"/>
          <w:szCs w:val="36"/>
        </w:rPr>
        <w:t>Poprawa połączeń komunikacyjnych zewnętrznych</w:t>
      </w:r>
      <w:bookmarkEnd w:id="17"/>
      <w:bookmarkEnd w:id="18"/>
      <w:bookmarkEnd w:id="19"/>
    </w:p>
    <w:tbl>
      <w:tblPr>
        <w:tblStyle w:val="Tabela-Siatka3"/>
        <w:tblW w:w="9072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C0779C" w:rsidRPr="00C0779C" w:rsidTr="00192D00">
        <w:tc>
          <w:tcPr>
            <w:tcW w:w="9072" w:type="dxa"/>
            <w:gridSpan w:val="2"/>
            <w:shd w:val="clear" w:color="auto" w:fill="93C02F"/>
            <w:vAlign w:val="center"/>
          </w:tcPr>
          <w:p w:rsidR="00C0779C" w:rsidRPr="00C0779C" w:rsidRDefault="00C0779C" w:rsidP="00C0779C">
            <w:pPr>
              <w:spacing w:before="120" w:after="120"/>
              <w:rPr>
                <w:rFonts w:eastAsia="Arial Unicode MS" w:cstheme="minorHAnsi"/>
                <w:color w:val="000000" w:themeColor="text1"/>
                <w:sz w:val="24"/>
                <w:szCs w:val="24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4"/>
                <w:szCs w:val="24"/>
              </w:rPr>
              <w:t xml:space="preserve">Tytuł projektu: </w:t>
            </w:r>
            <w:r w:rsidRPr="00C0779C">
              <w:rPr>
                <w:rFonts w:eastAsia="Arial Unicode MS" w:cstheme="minorHAnsi"/>
                <w:b/>
                <w:bCs/>
                <w:color w:val="000000" w:themeColor="text1"/>
                <w:sz w:val="24"/>
                <w:szCs w:val="24"/>
              </w:rPr>
              <w:t>Poprawa połączeń komunikacyjnych zewnętrznych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Krótki opis projektu: 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Projekt „Poprawa połączeń komunikacyjnych zewnętrznych” ukierunkowany jest na działania związane z poprawą zewnętrznej (wykraczającej poza MOF) dostępności komunikacyjnej miasta Olsztyn. </w:t>
            </w:r>
          </w:p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 ramach projektu zrealizowane zostaną następujące zadania:</w:t>
            </w:r>
          </w:p>
          <w:p w:rsidR="00C0779C" w:rsidRPr="00C0779C" w:rsidRDefault="00C0779C" w:rsidP="00C077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462" w:hanging="357"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Współpraca z Generalną Dyrekcją Dróg Krajowych i Autostrad oraz Polskimi Kolejami Państwowymi oraz lobbing w zakresie i na rzecz rozwoju zewnętrznych połączeń komunikacyjnych miasta Olsztyn. </w:t>
            </w:r>
          </w:p>
          <w:p w:rsidR="00C0779C" w:rsidRPr="00C0779C" w:rsidRDefault="00C0779C" w:rsidP="00C077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462" w:hanging="357"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Poprawa połączeń miasta z Portem Lotniczym Olsztyn-Mazury w zakresie synchronizacji godzin dojazdu do lotniska z godzinami odlotów i przylotów.</w:t>
            </w:r>
          </w:p>
          <w:p w:rsidR="00C0779C" w:rsidRPr="00C0779C" w:rsidRDefault="00C0779C" w:rsidP="00C077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462" w:hanging="357"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Monitoring prognoz rozwoju rynku lotniczego w kontekście rozwoju powiązań komunikacyjnych z lotniskiem Olsztyn-Mazury.</w:t>
            </w:r>
          </w:p>
        </w:tc>
      </w:tr>
      <w:tr w:rsidR="00C0779C" w:rsidRPr="00C0779C" w:rsidTr="00192D00">
        <w:trPr>
          <w:trHeight w:val="499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Trebuchet MS" w:cstheme="minorHAnsi"/>
                <w:i/>
                <w:color w:val="000000" w:themeColor="text1"/>
                <w:spacing w:val="-4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IV kw. 2024 – IV kw. 2028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Jednostka odpowiedzialna za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widowControl w:val="0"/>
              <w:autoSpaceDE w:val="0"/>
              <w:autoSpaceDN w:val="0"/>
              <w:spacing w:after="60"/>
              <w:rPr>
                <w:rFonts w:ascii="Trebuchet MS" w:eastAsia="Trebuchet MS" w:hAnsi="Trebuchet MS" w:cs="Trebuchet MS"/>
              </w:rPr>
            </w:pPr>
            <w:r w:rsidRPr="00C0779C">
              <w:rPr>
                <w:rFonts w:eastAsia="Trebuchet MS" w:cstheme="minorHAnsi"/>
                <w:iCs/>
                <w:color w:val="000000" w:themeColor="text1"/>
                <w:sz w:val="20"/>
                <w:szCs w:val="20"/>
              </w:rPr>
              <w:t>Urząd Miasta Olsztyna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i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iCs/>
                <w:color w:val="000000" w:themeColor="text1"/>
                <w:sz w:val="20"/>
                <w:szCs w:val="20"/>
              </w:rPr>
              <w:t>plac Jana Pawła II 1, 10-101 Olsztyn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widowControl w:val="0"/>
              <w:autoSpaceDE w:val="0"/>
              <w:autoSpaceDN w:val="0"/>
              <w:spacing w:after="60"/>
              <w:rPr>
                <w:rFonts w:eastAsia="Trebuchet MS" w:cstheme="minorHAnsi"/>
                <w:i/>
                <w:color w:val="000000" w:themeColor="text1"/>
                <w:spacing w:val="1"/>
                <w:sz w:val="20"/>
                <w:szCs w:val="20"/>
              </w:rPr>
            </w:pPr>
            <w:r w:rsidRPr="00C0779C">
              <w:rPr>
                <w:rFonts w:eastAsia="Trebuchet MS" w:cstheme="minorHAnsi"/>
                <w:color w:val="000000" w:themeColor="text1"/>
                <w:sz w:val="20"/>
                <w:szCs w:val="20"/>
              </w:rPr>
              <w:t>Urząd Marszałkowski Województwa Warmińsko-Mazurskiego w Olsztynie; PKP</w:t>
            </w:r>
          </w:p>
        </w:tc>
      </w:tr>
      <w:tr w:rsidR="00C0779C" w:rsidRPr="00C0779C" w:rsidTr="00192D00">
        <w:trPr>
          <w:trHeight w:val="57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 akceptacji zakresu</w:t>
            </w:r>
          </w:p>
        </w:tc>
      </w:tr>
      <w:tr w:rsidR="00C0779C" w:rsidRPr="00C0779C" w:rsidTr="00192D00">
        <w:trPr>
          <w:trHeight w:val="767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Cel operacyjny </w:t>
            </w:r>
            <w:r w:rsidRPr="00C0779C">
              <w:rPr>
                <w:rFonts w:eastAsia="Arial Unicode MS" w:cstheme="minorHAnsi"/>
                <w:bCs/>
                <w:i/>
                <w:color w:val="000000" w:themeColor="text1"/>
                <w:sz w:val="20"/>
                <w:szCs w:val="20"/>
              </w:rPr>
              <w:t>Strategii Rozwoju Miasta – Olsztyna 2030+</w:t>
            </w: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OLSZTYN METROPOLITALNY</w:t>
            </w:r>
          </w:p>
        </w:tc>
      </w:tr>
      <w:tr w:rsidR="00C0779C" w:rsidRPr="00C0779C" w:rsidTr="00192D00">
        <w:trPr>
          <w:trHeight w:val="32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Kierunek działań: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C0779C" w:rsidRPr="00C0779C" w:rsidTr="00192D00">
        <w:trPr>
          <w:trHeight w:val="65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Działanie: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numPr>
                <w:ilvl w:val="0"/>
                <w:numId w:val="13"/>
              </w:numPr>
              <w:ind w:left="321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Poprawa połączeń komunikacyjnych z innymi ośrodkami wojewódzkimi i zagranicznymi (w ramach sieci TEN-T)</w:t>
            </w:r>
          </w:p>
          <w:p w:rsidR="00C0779C" w:rsidRPr="00C0779C" w:rsidRDefault="00C0779C" w:rsidP="00C0779C">
            <w:pPr>
              <w:numPr>
                <w:ilvl w:val="0"/>
                <w:numId w:val="13"/>
              </w:numPr>
              <w:ind w:left="321" w:hanging="283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Wyprowadzenie ruchu tranzytowego poprzez budowę północnej obwodnicy Olsztyna</w:t>
            </w:r>
          </w:p>
        </w:tc>
      </w:tr>
      <w:tr w:rsidR="00C0779C" w:rsidRPr="00C0779C" w:rsidTr="00192D00">
        <w:trPr>
          <w:trHeight w:val="244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Wskaźniki produktu: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Obwodnica północna 0/1</w:t>
            </w:r>
          </w:p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km obwodnicy północnej … km</w:t>
            </w:r>
          </w:p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Prognoza rozwoju rynku lotniczego na lata 2023-2030 – 1 sztuka </w:t>
            </w:r>
          </w:p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km nowych dróg – (pod warunkiem, że liczymy dojazdówki do obwodnicy – albo te nowe to obwodnica) … km</w:t>
            </w:r>
          </w:p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regularnych połączeń Olsztyn – Olsztyn-Mazury / co godzinę</w:t>
            </w:r>
          </w:p>
        </w:tc>
      </w:tr>
      <w:tr w:rsidR="00C0779C" w:rsidRPr="00C0779C" w:rsidTr="00192D00">
        <w:trPr>
          <w:trHeight w:val="499"/>
        </w:trPr>
        <w:tc>
          <w:tcPr>
            <w:tcW w:w="2268" w:type="dxa"/>
            <w:vAlign w:val="center"/>
          </w:tcPr>
          <w:p w:rsidR="00C0779C" w:rsidRPr="00C0779C" w:rsidRDefault="00C0779C" w:rsidP="00C0779C">
            <w:pPr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</w:pPr>
            <w:r w:rsidRPr="00C0779C">
              <w:rPr>
                <w:rFonts w:eastAsia="Arial Unicode MS" w:cstheme="minorHAnsi"/>
                <w:bCs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804" w:type="dxa"/>
            <w:vAlign w:val="center"/>
          </w:tcPr>
          <w:p w:rsidR="00C0779C" w:rsidRPr="00C0779C" w:rsidRDefault="00C0779C" w:rsidP="00C0779C">
            <w:pPr>
              <w:spacing w:after="60"/>
              <w:contextualSpacing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C0779C" w:rsidRPr="00C0779C" w:rsidRDefault="00C0779C" w:rsidP="00C0779C">
      <w:pPr>
        <w:spacing w:after="120" w:line="276" w:lineRule="auto"/>
        <w:jc w:val="both"/>
        <w:rPr>
          <w:rFonts w:eastAsia="Arial Unicode MS" w:cstheme="minorHAnsi"/>
          <w:color w:val="616161"/>
          <w:sz w:val="20"/>
          <w:szCs w:val="20"/>
        </w:rPr>
      </w:pPr>
    </w:p>
    <w:p w:rsidR="00B840B0" w:rsidRDefault="00C0779C">
      <w:r w:rsidRPr="00C0779C">
        <w:rPr>
          <w:rFonts w:ascii="Calibri" w:eastAsia="Arial Unicode MS" w:hAnsi="Calibri" w:cs="Calibri"/>
          <w:color w:val="616161"/>
          <w:sz w:val="24"/>
          <w:szCs w:val="24"/>
        </w:rPr>
        <w:br w:type="page"/>
      </w:r>
    </w:p>
    <w:sectPr w:rsidR="00B8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10"/>
    <w:multiLevelType w:val="hybridMultilevel"/>
    <w:tmpl w:val="B9EC3E96"/>
    <w:lvl w:ilvl="0" w:tplc="8084F102">
      <w:start w:val="1"/>
      <w:numFmt w:val="decimal"/>
      <w:lvlText w:val="%1."/>
      <w:lvlJc w:val="left"/>
      <w:pPr>
        <w:ind w:left="1068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444CB"/>
    <w:multiLevelType w:val="hybridMultilevel"/>
    <w:tmpl w:val="A0F0C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863"/>
    <w:multiLevelType w:val="hybridMultilevel"/>
    <w:tmpl w:val="FBB04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F35"/>
    <w:multiLevelType w:val="multilevel"/>
    <w:tmpl w:val="627A7A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391" w:hanging="720"/>
      </w:pPr>
      <w:rPr>
        <w:rFonts w:eastAsiaTheme="minorEastAsia" w:hint="default"/>
        <w:color w:val="767171" w:themeColor="background2" w:themeShade="8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eastAsiaTheme="minorEastAsia" w:hint="default"/>
        <w:color w:val="auto"/>
      </w:rPr>
    </w:lvl>
  </w:abstractNum>
  <w:abstractNum w:abstractNumId="4" w15:restartNumberingAfterBreak="0">
    <w:nsid w:val="30697225"/>
    <w:multiLevelType w:val="hybridMultilevel"/>
    <w:tmpl w:val="229E9420"/>
    <w:lvl w:ilvl="0" w:tplc="2B409B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744FC"/>
    <w:multiLevelType w:val="hybridMultilevel"/>
    <w:tmpl w:val="55A2C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6D32"/>
    <w:multiLevelType w:val="hybridMultilevel"/>
    <w:tmpl w:val="629A4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7FE4"/>
    <w:multiLevelType w:val="hybridMultilevel"/>
    <w:tmpl w:val="03AE79F2"/>
    <w:lvl w:ilvl="0" w:tplc="CC568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42BF"/>
    <w:multiLevelType w:val="hybridMultilevel"/>
    <w:tmpl w:val="BCC44C86"/>
    <w:lvl w:ilvl="0" w:tplc="2AAC8D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3C1"/>
    <w:multiLevelType w:val="hybridMultilevel"/>
    <w:tmpl w:val="BC1867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664FD"/>
    <w:multiLevelType w:val="hybridMultilevel"/>
    <w:tmpl w:val="F4BA4E80"/>
    <w:lvl w:ilvl="0" w:tplc="179E56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5DBA"/>
    <w:multiLevelType w:val="hybridMultilevel"/>
    <w:tmpl w:val="DB1E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536B0"/>
    <w:multiLevelType w:val="multilevel"/>
    <w:tmpl w:val="AD6A6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5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32" w:hanging="1800"/>
      </w:pPr>
      <w:rPr>
        <w:rFonts w:hint="default"/>
      </w:rPr>
    </w:lvl>
  </w:abstractNum>
  <w:abstractNum w:abstractNumId="13" w15:restartNumberingAfterBreak="0">
    <w:nsid w:val="68123CCF"/>
    <w:multiLevelType w:val="hybridMultilevel"/>
    <w:tmpl w:val="FD7AF096"/>
    <w:lvl w:ilvl="0" w:tplc="536E256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87F57"/>
    <w:multiLevelType w:val="hybridMultilevel"/>
    <w:tmpl w:val="C8669D6A"/>
    <w:lvl w:ilvl="0" w:tplc="693827D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C"/>
    <w:rsid w:val="00B840B0"/>
    <w:rsid w:val="00C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722C-9356-4CB3-BD01-39C33C8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C0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0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2024-06-27T07:36:00Z</dcterms:created>
  <dcterms:modified xsi:type="dcterms:W3CDTF">2024-06-27T07:39:00Z</dcterms:modified>
</cp:coreProperties>
</file>